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0F4D3A"/>
          </w:tcPr>
          <w:p>
            <w:r>
              <w:rPr>
                <w:b/>
                <w:color w:val="FFFFFF"/>
                <w:sz w:val="22"/>
              </w:rPr>
              <w:t>OWLWISE · QUY TRÌNH MẪU CHO SME</w:t>
            </w:r>
          </w:p>
        </w:tc>
      </w:tr>
    </w:tbl>
    <w:p/>
    <w:p>
      <w:r>
        <w:rPr>
          <w:b/>
          <w:color w:val="1B1B1B"/>
          <w:sz w:val="48"/>
        </w:rPr>
        <w:t>Quy trình thu hồi công nợ cho SME</w:t>
      </w:r>
    </w:p>
    <w:p>
      <w:r>
        <w:rPr>
          <w:color w:val="6B675F"/>
        </w:rPr>
        <w:t>Sáu bước nhắc và thu tiền khách hàng theo mức quá hạn, ai gọi, ai gửi email, khi nào dừng giao hàng, để công nợ không trôi quá 60 ngày.</w:t>
      </w:r>
    </w:p>
    <w:p/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923"/>
        <w:gridCol w:w="6724"/>
      </w:tblGrid>
      <w:tr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Thông tin</w:t>
            </w:r>
          </w:p>
        </w:tc>
        <w:tc>
          <w:tcPr>
            <w:tcW w:type="dxa" w:w="6724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Mã quy trình</w:t>
            </w:r>
          </w:p>
        </w:tc>
        <w:tc>
          <w:tcPr>
            <w:tcW w:type="dxa" w:w="6724"/>
          </w:tcPr>
          <w:p>
            <w:r>
              <w:t>[QT-…]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Phiên bản</w:t>
            </w:r>
          </w:p>
        </w:tc>
        <w:tc>
          <w:tcPr>
            <w:tcW w:type="dxa" w:w="6724"/>
          </w:tcPr>
          <w:p>
            <w:r>
              <w:t>1.0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Phòng ban</w:t>
            </w:r>
          </w:p>
        </w:tc>
        <w:tc>
          <w:tcPr>
            <w:tcW w:type="dxa" w:w="6724"/>
          </w:tcPr>
          <w:p>
            <w:r>
              <w:t>Kế toán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Người chịu trách nhiệm</w:t>
            </w:r>
          </w:p>
        </w:tc>
        <w:tc>
          <w:tcPr>
            <w:tcW w:type="dxa" w:w="6724"/>
          </w:tcPr>
          <w:p>
            <w:r>
              <w:t>Kế toán công nợ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Phạm vi</w:t>
            </w:r>
          </w:p>
        </w:tc>
        <w:tc>
          <w:tcPr>
            <w:tcW w:type="dxa" w:w="6724"/>
          </w:tcPr>
          <w:p>
            <w:r>
              <w:t>Mọi khoản phải thu từ khách hàng doanh nghiệp và khách mua trả chậm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Ngày hiệu lực</w:t>
            </w:r>
          </w:p>
        </w:tc>
        <w:tc>
          <w:tcPr>
            <w:tcW w:type="dxa" w:w="6724"/>
          </w:tcPr>
          <w:p>
            <w:r>
              <w:t>[ngày/tháng/năm]</w:t>
            </w:r>
          </w:p>
        </w:tc>
      </w:tr>
    </w:tbl>
    <w:p/>
    <w:p>
      <w:r>
        <w:rPr>
          <w:b/>
        </w:rPr>
        <w:t>Phê duyệt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338"/>
        <w:gridCol w:w="2923"/>
        <w:gridCol w:w="2338"/>
        <w:gridCol w:w="2046"/>
      </w:tblGrid>
      <w:tr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Họ tên</w:t>
            </w:r>
          </w:p>
        </w:tc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Chữ ký</w:t>
            </w:r>
          </w:p>
        </w:tc>
        <w:tc>
          <w:tcPr>
            <w:tcW w:type="dxa" w:w="2047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soạn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kiểm tra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phê duyệt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1. Mục đích</w:t>
      </w:r>
    </w:p>
    <w:p>
      <w:r>
        <w:t>Thu tiền đúng hạn mà vẫn giữ quan hệ với khách, phát hiện sớm khoản khó đòi.</w:t>
      </w:r>
    </w:p>
    <w:p>
      <w:pPr>
        <w:pStyle w:val="Heading1"/>
      </w:pPr>
      <w:r>
        <w:t>2. Phạm vi áp dụng</w:t>
      </w:r>
    </w:p>
    <w:p>
      <w:r>
        <w:t>Mọi khoản phải thu từ khách hàng doanh nghiệp và khách mua trả chậm.</w:t>
      </w:r>
    </w:p>
    <w:p>
      <w:pPr>
        <w:pStyle w:val="Heading1"/>
      </w:pPr>
      <w:r>
        <w:t>3. Vai trò và trách nhiệm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659"/>
        <w:gridCol w:w="998"/>
        <w:gridCol w:w="998"/>
        <w:gridCol w:w="998"/>
        <w:gridCol w:w="998"/>
        <w:gridCol w:w="998"/>
        <w:gridCol w:w="998"/>
      </w:tblGrid>
      <w:tr>
        <w:tc>
          <w:tcPr>
            <w:tcW w:type="dxa" w:w="3660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B1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B2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B3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B4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B5</w:t>
            </w:r>
          </w:p>
        </w:tc>
        <w:tc>
          <w:tcPr>
            <w:tcW w:type="dxa" w:w="998"/>
            <w:shd w:val="clear" w:color="auto" w:fill="0F4D3A"/>
          </w:tcPr>
          <w:p>
            <w:r/>
            <w:r>
              <w:rPr>
                <w:b/>
                <w:color w:val="FFFFFF"/>
              </w:rPr>
              <w:t>B6</w:t>
            </w:r>
          </w:p>
        </w:tc>
      </w:tr>
      <w:tr>
        <w:tc>
          <w:tcPr>
            <w:tcW w:type="dxa" w:w="3660"/>
          </w:tcPr>
          <w:p>
            <w:r>
              <w:t>Kế toán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</w:tr>
      <w:tr>
        <w:tc>
          <w:tcPr>
            <w:tcW w:type="dxa" w:w="3660"/>
          </w:tcPr>
          <w:p>
            <w:r>
              <w:t>Nhân viên kinh doanh phụ trách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</w:tr>
      <w:tr>
        <w:tc>
          <w:tcPr>
            <w:tcW w:type="dxa" w:w="3660"/>
          </w:tcPr>
          <w:p>
            <w:r>
              <w:t>Trưởng phòng kinh doanh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</w:tr>
      <w:tr>
        <w:tc>
          <w:tcPr>
            <w:tcW w:type="dxa" w:w="3660"/>
          </w:tcPr>
          <w:p>
            <w:r>
              <w:t>Giám đốc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  <w:tc>
          <w:tcPr>
            <w:tcW w:type="dxa" w:w="998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98"/>
          </w:tcPr>
          <w:p>
            <w:pPr>
              <w:jc w:val="center"/>
            </w:pPr>
            <w:r/>
          </w:p>
        </w:tc>
      </w:tr>
    </w:tbl>
    <w:p>
      <w:r>
        <w:rPr>
          <w:i/>
          <w:color w:val="6B675F"/>
        </w:rPr>
        <w:t>● chịu trách nhiệm chính   ○ tham gia   B1, B2… là các bước ở mục 5.</w:t>
      </w:r>
    </w:p>
    <w:p>
      <w:r>
        <w:br w:type="page"/>
      </w:r>
    </w:p>
    <w:p>
      <w:pPr>
        <w:pStyle w:val="Heading1"/>
      </w:pPr>
      <w:r>
        <w:t>4. Lưu đồ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43253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y-trinh-thu-hoi-cong-n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325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6B675F"/>
        </w:rPr>
        <w:t>Mỗi cột là một vai trò. Ô có viền là bước do vai trò đó chịu trách nhiệm chính; vòng tròn là vai trò tham gia.</w:t>
      </w:r>
    </w:p>
    <w:p>
      <w:r>
        <w:br w:type="page"/>
      </w:r>
    </w:p>
    <w:p>
      <w:pPr>
        <w:pStyle w:val="Heading1"/>
      </w:pPr>
      <w:r>
        <w:t>5. Các bước thực hiện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432"/>
        <w:gridCol w:w="1728"/>
        <w:gridCol w:w="1584"/>
        <w:gridCol w:w="3024"/>
        <w:gridCol w:w="1584"/>
        <w:gridCol w:w="1296"/>
      </w:tblGrid>
      <w:tr>
        <w:tc>
          <w:tcPr>
            <w:tcW w:type="dxa" w:w="432"/>
            <w:shd w:val="clear" w:color="auto" w:fill="0F4D3A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1728"/>
            <w:shd w:val="clear" w:color="auto" w:fill="0F4D3A"/>
          </w:tcPr>
          <w:p>
            <w:r/>
            <w:r>
              <w:rPr>
                <w:b/>
                <w:color w:val="FFFFFF"/>
              </w:rPr>
              <w:t>Bước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Ai làm</w:t>
            </w:r>
          </w:p>
        </w:tc>
        <w:tc>
          <w:tcPr>
            <w:tcW w:type="dxa" w:w="3024"/>
            <w:shd w:val="clear" w:color="auto" w:fill="0F4D3A"/>
          </w:tcPr>
          <w:p>
            <w:r/>
            <w:r>
              <w:rPr>
                <w:b/>
                <w:color w:val="FFFFFF"/>
              </w:rPr>
              <w:t>Làm gì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Đầu ra</w:t>
            </w:r>
          </w:p>
        </w:tc>
        <w:tc>
          <w:tcPr>
            <w:tcW w:type="dxa" w:w="1296"/>
            <w:shd w:val="clear" w:color="auto" w:fill="0F4D3A"/>
          </w:tcPr>
          <w:p>
            <w:r/>
            <w:r>
              <w:rPr>
                <w:b/>
                <w:color w:val="FFFFFF"/>
              </w:rPr>
              <w:t>Thời hạn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</w:tcPr>
          <w:p>
            <w:r>
              <w:t>Gửi hoá đơn và xác nhận hạn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Gửi hoá đơn kèm thông tin chuyển khoản và ngày đến hạn, xin khách xác nhận đã nhận</w:t>
            </w:r>
          </w:p>
        </w:tc>
        <w:tc>
          <w:tcPr>
            <w:tcW w:type="dxa" w:w="1584"/>
          </w:tcPr>
          <w:p>
            <w:r>
              <w:t>Hoá đơn đã gửi, hạn thanh toán đã xác nhận</w:t>
            </w:r>
          </w:p>
        </w:tc>
        <w:tc>
          <w:tcPr>
            <w:tcW w:type="dxa" w:w="1296"/>
          </w:tcPr>
          <w:p>
            <w:r>
              <w:t>Ngày xuất hoá đơn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</w:tcPr>
          <w:p>
            <w:r>
              <w:t>Nhắc trước hạn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Gửi email nhắc nhẹ 3 ngày trước hạn, kèm số tiền và thông tin chuyển khoản</w:t>
            </w:r>
          </w:p>
        </w:tc>
        <w:tc>
          <w:tcPr>
            <w:tcW w:type="dxa" w:w="1584"/>
          </w:tcPr>
          <w:p>
            <w:r>
              <w:t>Email nhắc trước hạn</w:t>
            </w:r>
          </w:p>
        </w:tc>
        <w:tc>
          <w:tcPr>
            <w:tcW w:type="dxa" w:w="1296"/>
          </w:tcPr>
          <w:p>
            <w:r>
              <w:t>3 ngày trước hạn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28"/>
          </w:tcPr>
          <w:p>
            <w:r>
              <w:t>Nhắc khi quá hạn 1–15 ngày</w:t>
            </w:r>
          </w:p>
        </w:tc>
        <w:tc>
          <w:tcPr>
            <w:tcW w:type="dxa" w:w="1584"/>
          </w:tcPr>
          <w:p>
            <w:r>
              <w:t>Kế toán, nhân viên kinh doanh phụ trách</w:t>
            </w:r>
          </w:p>
        </w:tc>
        <w:tc>
          <w:tcPr>
            <w:tcW w:type="dxa" w:w="3024"/>
          </w:tcPr>
          <w:p>
            <w:r>
              <w:t>Kế toán gửi email nhắc; nhân viên kinh doanh gọi hỏi khách có vướng gì không</w:t>
            </w:r>
          </w:p>
        </w:tc>
        <w:tc>
          <w:tcPr>
            <w:tcW w:type="dxa" w:w="1584"/>
          </w:tcPr>
          <w:p>
            <w:r>
              <w:t>Ghi chú cuộc gọi, ngày khách hẹn trả</w:t>
            </w:r>
          </w:p>
        </w:tc>
        <w:tc>
          <w:tcPr>
            <w:tcW w:type="dxa" w:w="1296"/>
          </w:tcPr>
          <w:p>
            <w:r>
              <w:t>Quá hạn 1 ngày và 7 ngày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728"/>
          </w:tcPr>
          <w:p>
            <w:r>
              <w:t>Quá hạn 16–30 ngày</w:t>
            </w:r>
          </w:p>
        </w:tc>
        <w:tc>
          <w:tcPr>
            <w:tcW w:type="dxa" w:w="1584"/>
          </w:tcPr>
          <w:p>
            <w:r>
              <w:t>Trưởng phòng kinh doanh</w:t>
            </w:r>
          </w:p>
        </w:tc>
        <w:tc>
          <w:tcPr>
            <w:tcW w:type="dxa" w:w="3024"/>
          </w:tcPr>
          <w:p>
            <w:r>
              <w:t>Gọi người có thẩm quyền bên khách, chốt lịch trả cụ thể bằng văn bản</w:t>
            </w:r>
          </w:p>
        </w:tc>
        <w:tc>
          <w:tcPr>
            <w:tcW w:type="dxa" w:w="1584"/>
          </w:tcPr>
          <w:p>
            <w:r>
              <w:t>Cam kết trả có ngày cụ thể</w:t>
            </w:r>
          </w:p>
        </w:tc>
        <w:tc>
          <w:tcPr>
            <w:tcW w:type="dxa" w:w="1296"/>
          </w:tcPr>
          <w:p>
            <w:r>
              <w:t>Quá hạn 16 ngày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728"/>
          </w:tcPr>
          <w:p>
            <w:r>
              <w:t>Quá hạn trên 30 ngày</w:t>
            </w:r>
          </w:p>
        </w:tc>
        <w:tc>
          <w:tcPr>
            <w:tcW w:type="dxa" w:w="1584"/>
          </w:tcPr>
          <w:p>
            <w:r>
              <w:t>Giám đốc</w:t>
            </w:r>
          </w:p>
        </w:tc>
        <w:tc>
          <w:tcPr>
            <w:tcW w:type="dxa" w:w="3024"/>
          </w:tcPr>
          <w:p>
            <w:r>
              <w:t>Quyết định tạm dừng giao hàng hoặc dịch vụ mới cho khách, gửi thư đề nghị thanh toán chính thức</w:t>
            </w:r>
          </w:p>
        </w:tc>
        <w:tc>
          <w:tcPr>
            <w:tcW w:type="dxa" w:w="1584"/>
          </w:tcPr>
          <w:p>
            <w:r>
              <w:t>Thư đề nghị thanh toán, quyết định tạm dừng</w:t>
            </w:r>
          </w:p>
        </w:tc>
        <w:tc>
          <w:tcPr>
            <w:tcW w:type="dxa" w:w="1296"/>
          </w:tcPr>
          <w:p>
            <w:r>
              <w:t>Quá hạn 31 ngày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728"/>
          </w:tcPr>
          <w:p>
            <w:r>
              <w:t>Rà soát hằng tuần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Cập nhật bảng tuổi nợ, gửi danh sách quá hạn cho kinh doanh và giám đốc</w:t>
            </w:r>
          </w:p>
        </w:tc>
        <w:tc>
          <w:tcPr>
            <w:tcW w:type="dxa" w:w="1584"/>
          </w:tcPr>
          <w:p>
            <w:r>
              <w:t>Bảng tuổi nợ tuần</w:t>
            </w:r>
          </w:p>
        </w:tc>
        <w:tc>
          <w:tcPr>
            <w:tcW w:type="dxa" w:w="1296"/>
          </w:tcPr>
          <w:p>
            <w:r>
              <w:t>Mỗi thứ Hai</w:t>
            </w:r>
          </w:p>
        </w:tc>
      </w:tr>
    </w:tbl>
    <w:p>
      <w:pPr>
        <w:pStyle w:val="Heading1"/>
      </w:pPr>
      <w:r>
        <w:t>6. Chỉ số đo hiệu quả quy trình</w:t>
      </w:r>
    </w:p>
    <w:p>
      <w:pPr>
        <w:pStyle w:val="ListBullet"/>
      </w:pPr>
      <w:r>
        <w:t>Số ngày thu tiền bình quân</w:t>
      </w:r>
    </w:p>
    <w:p>
      <w:pPr>
        <w:pStyle w:val="ListBullet"/>
      </w:pPr>
      <w:r>
        <w:t>Tỷ lệ công nợ quá hạn trên 30 ngày</w:t>
      </w:r>
    </w:p>
    <w:p>
      <w:pPr>
        <w:pStyle w:val="ListBullet"/>
      </w:pPr>
      <w:r>
        <w:t>Số khách được nhắc đúng lịch</w:t>
      </w:r>
    </w:p>
    <w:p>
      <w:pPr>
        <w:pStyle w:val="Heading1"/>
      </w:pPr>
      <w:r>
        <w:t>7. Biểu mẫu đi kèm</w:t>
      </w:r>
    </w:p>
    <w:p>
      <w:pPr>
        <w:pStyle w:val="ListBullet"/>
      </w:pPr>
      <w:r>
        <w:t>Bảng tuổi nợ theo khách hàng (phụ lục)</w:t>
      </w:r>
    </w:p>
    <w:p>
      <w:pPr>
        <w:pStyle w:val="ListBullet"/>
      </w:pPr>
      <w:r>
        <w:t>Mẫu email nhắc trước hạn và quá hạn</w:t>
      </w:r>
    </w:p>
    <w:p>
      <w:pPr>
        <w:pStyle w:val="ListBullet"/>
      </w:pPr>
      <w:r>
        <w:t>Mẫu thư đề nghị thanh toán (phụ lục)</w:t>
      </w:r>
    </w:p>
    <w:p>
      <w:pPr>
        <w:pStyle w:val="ListBullet"/>
      </w:pPr>
      <w:r>
        <w:t>Sổ ghi chú cuộc gọi thu nợ</w:t>
      </w:r>
    </w:p>
    <w:p>
      <w:r>
        <w:br w:type="page"/>
      </w:r>
    </w:p>
    <w:p>
      <w:pPr>
        <w:pStyle w:val="Heading2"/>
      </w:pPr>
      <w:r>
        <w:t>Phụ lục 1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BẢNG TUỔI NỢ THEO KHÁCH HÀNG</w:t>
            </w:r>
          </w:p>
        </w:tc>
      </w:tr>
    </w:tbl>
    <w:p>
      <w:r>
        <w:rPr>
          <w:i/>
          <w:color w:val="6B675F"/>
        </w:rPr>
        <w:t>Cập nhật mỗi thứ Hai, gửi kinh doanh và giám đốc.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Khách hàng</w:t>
            </w:r>
          </w:p>
        </w:tc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Số hoá đơn</w:t>
            </w:r>
          </w:p>
        </w:tc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Số tiền</w:t>
            </w:r>
          </w:p>
        </w:tc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Hạn</w:t>
            </w:r>
          </w:p>
        </w:tc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Số ngày quá hạn</w:t>
            </w:r>
          </w:p>
        </w:tc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Nhóm</w:t>
            </w:r>
          </w:p>
        </w:tc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Người phụ trách</w:t>
            </w:r>
          </w:p>
        </w:tc>
        <w:tc>
          <w:tcPr>
            <w:tcW w:type="dxa" w:w="1206"/>
            <w:shd w:val="clear" w:color="auto" w:fill="0F4D3A"/>
          </w:tcPr>
          <w:p>
            <w:r/>
            <w:r>
              <w:rPr>
                <w:b/>
                <w:color w:val="FFFFFF"/>
              </w:rPr>
              <w:t>Bước tiếp theo</w:t>
            </w:r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  <w:tr>
        <w:trPr>
          <w:trHeight w:val="461"/>
        </w:trPr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  <w:tc>
          <w:tcPr>
            <w:tcW w:type="dxa" w:w="1206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2"/>
      </w:pPr>
      <w:r>
        <w:t>Phụ lục 2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THƯ ĐỀ NGHỊ THANH TOÁN</w:t>
            </w:r>
          </w:p>
        </w:tc>
      </w:tr>
    </w:tbl>
    <w:p>
      <w:r>
        <w:rPr>
          <w:i/>
          <w:color w:val="6B675F"/>
        </w:rPr>
        <w:t>Dùng khi quá hạn trên 30 ngày, giám đốc ký.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362"/>
        <w:gridCol w:w="6285"/>
      </w:tblGrid>
      <w:tr>
        <w:tc>
          <w:tcPr>
            <w:tcW w:type="dxa" w:w="3362"/>
            <w:shd w:val="clear" w:color="auto" w:fill="0F4D3A"/>
          </w:tcPr>
          <w:p>
            <w:r/>
            <w:r>
              <w:rPr>
                <w:b/>
                <w:color w:val="FFFFFF"/>
              </w:rPr>
              <w:t>Mục</w:t>
            </w:r>
          </w:p>
        </w:tc>
        <w:tc>
          <w:tcPr>
            <w:tcW w:type="dxa" w:w="6286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Kính gửi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Số hoá đơn, ngày hoá đơn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Số tiền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Hạn thanh toán ban đầu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Số ngày quá hạn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Đề nghị thanh toán trước ngày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Thông tin chuyển khoản</w:t>
            </w:r>
          </w:p>
        </w:tc>
        <w:tc>
          <w:tcPr>
            <w:tcW w:type="dxa" w:w="6286"/>
          </w:tcPr>
          <w:p>
            <w:r/>
          </w:p>
        </w:tc>
      </w:tr>
      <w:tr>
        <w:trPr>
          <w:trHeight w:val="547"/>
        </w:trPr>
        <w:tc>
          <w:tcPr>
            <w:tcW w:type="dxa" w:w="3362"/>
          </w:tcPr>
          <w:p>
            <w:r>
              <w:t>Người liên hệ</w:t>
            </w:r>
          </w:p>
        </w:tc>
        <w:tc>
          <w:tcPr>
            <w:tcW w:type="dxa" w:w="6286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1"/>
      </w:pPr>
      <w:r>
        <w:t>Lịch sử thay đổi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Phiên bản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 thay đổi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Người sửa</w:t>
            </w:r>
          </w:p>
        </w:tc>
      </w:tr>
      <w:tr>
        <w:tc>
          <w:tcPr>
            <w:tcW w:type="dxa" w:w="2412"/>
          </w:tcPr>
          <w:p>
            <w:r>
              <w:t>1.0</w:t>
            </w:r>
          </w:p>
        </w:tc>
        <w:tc>
          <w:tcPr>
            <w:tcW w:type="dxa" w:w="2412"/>
          </w:tcPr>
          <w:p>
            <w:r>
              <w:t>[ngày]</w:t>
            </w:r>
          </w:p>
        </w:tc>
        <w:tc>
          <w:tcPr>
            <w:tcW w:type="dxa" w:w="2412"/>
          </w:tcPr>
          <w:p>
            <w:r>
              <w:t>Ban hành lần đầu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75F"/>
        <w:sz w:val="17"/>
      </w:rPr>
      <w:t xml:space="preserve">OwlWise · www.owlwise.dev · Trang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75F"/>
        <w:sz w:val="17"/>
      </w:rPr>
      <w:t>OwlWise · Quy trình thu hồi công nợ cho SME · Mã: [QT-…] · Phiên bản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4D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4D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